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572859" w:rsidRPr="009C5F74" w:rsidRDefault="00572859" w:rsidP="00572859">
      <w:pPr>
        <w:tabs>
          <w:tab w:val="left" w:pos="14656"/>
        </w:tabs>
        <w:overflowPunct w:val="0"/>
        <w:jc w:val="center"/>
        <w:textAlignment w:val="baseline"/>
        <w:rPr>
          <w:b/>
          <w:lang w:eastAsia="lt-LT"/>
        </w:rPr>
      </w:pPr>
      <w:r>
        <w:rPr>
          <w:b/>
          <w:lang w:eastAsia="lt-LT"/>
        </w:rPr>
        <w:t>KLAIPĖDOS ,,AITVARO“ GIMNAZIJOS 2021</w:t>
      </w:r>
      <w:r w:rsidRPr="009C5F74">
        <w:rPr>
          <w:b/>
          <w:lang w:eastAsia="lt-LT"/>
        </w:rPr>
        <w:t xml:space="preserve"> METŲ VEIKLOS ATASKAITA </w:t>
      </w:r>
    </w:p>
    <w:p w:rsidR="00572859" w:rsidRPr="00F72A1E" w:rsidRDefault="00572859" w:rsidP="00572859">
      <w:pPr>
        <w:jc w:val="center"/>
      </w:pPr>
    </w:p>
    <w:p w:rsidR="00572859" w:rsidRPr="00B97CF3" w:rsidRDefault="00572859" w:rsidP="00572859">
      <w:pPr>
        <w:tabs>
          <w:tab w:val="left" w:pos="596"/>
        </w:tabs>
        <w:overflowPunct w:val="0"/>
        <w:ind w:firstLine="570"/>
        <w:jc w:val="both"/>
        <w:textAlignment w:val="baseline"/>
        <w:rPr>
          <w:color w:val="000000" w:themeColor="text1"/>
          <w:lang w:eastAsia="lt-LT"/>
        </w:rPr>
      </w:pPr>
      <w:r w:rsidRPr="00B97CF3">
        <w:rPr>
          <w:lang w:eastAsia="lt-LT"/>
        </w:rPr>
        <w:t>Klaipėdos „Aitvaro“ gimnazijos (toliau – Gimnazija) 2021–2023-ųjų metų strateginiame plane (toliau – Strateginis planas) ir 2021 metų veiklos plane (toliau – Veiklos planas) numatyti tikslai ir uždaviniai, užtikrinantys kokybiško ir modernaus ugdymo(si) organizavimą, saugią ir pozityvią emocinę aplinką, lemiančią gerą bendruomenės savijautą bei veiksmingos švietimo pagalbos įvairių gebėjimų mokiniams teikimo gerinimą.</w:t>
      </w:r>
      <w:r w:rsidRPr="00B97CF3">
        <w:rPr>
          <w:color w:val="FF0000"/>
          <w:lang w:eastAsia="lt-LT"/>
        </w:rPr>
        <w:t xml:space="preserve"> </w:t>
      </w:r>
      <w:r w:rsidRPr="00B97CF3">
        <w:rPr>
          <w:color w:val="000000" w:themeColor="text1"/>
          <w:lang w:eastAsia="lt-LT"/>
        </w:rPr>
        <w:t xml:space="preserve">Siekiant kokybiško ugdymo organizavimo, 2021 m. buvo numatytas metinės veiklos tikslas – užtikrinti kiekvieno mokinio saugumą, asmeninės pažangos ūgtį per praktinį patyrimą, diegiant atnaujintą ugdymo turinį. </w:t>
      </w:r>
    </w:p>
    <w:p w:rsidR="00572859" w:rsidRPr="00B97CF3" w:rsidRDefault="00572859" w:rsidP="00572859">
      <w:pPr>
        <w:tabs>
          <w:tab w:val="left" w:pos="596"/>
        </w:tabs>
        <w:overflowPunct w:val="0"/>
        <w:ind w:firstLine="570"/>
        <w:jc w:val="both"/>
        <w:textAlignment w:val="baseline"/>
        <w:rPr>
          <w:color w:val="000000" w:themeColor="text1"/>
          <w:lang w:eastAsia="lt-LT"/>
        </w:rPr>
      </w:pPr>
      <w:r w:rsidRPr="00B97CF3">
        <w:rPr>
          <w:lang w:eastAsia="lt-LT"/>
        </w:rPr>
        <w:t xml:space="preserve">2021 m. Gimnazijoje mokėsi 420 mokinių, iš jų I-II klasėse – 230, III–IV klasėse – 190 (2020 m. – 412). Gimnazijoje </w:t>
      </w:r>
      <w:r w:rsidRPr="00B97CF3">
        <w:rPr>
          <w:color w:val="000000" w:themeColor="text1"/>
          <w:lang w:eastAsia="lt-LT"/>
        </w:rPr>
        <w:t>p</w:t>
      </w:r>
      <w:r w:rsidRPr="00B97CF3">
        <w:rPr>
          <w:lang w:eastAsia="lt-LT"/>
        </w:rPr>
        <w:t>agrindinio ugdymo II dalies, vidurinio ugdymo ir neformaliojo vaikų švietimo programas įgyvendino 46</w:t>
      </w:r>
      <w:r w:rsidRPr="00B97CF3">
        <w:t xml:space="preserve"> </w:t>
      </w:r>
      <w:r w:rsidRPr="00B97CF3">
        <w:rPr>
          <w:lang w:eastAsia="lt-LT"/>
        </w:rPr>
        <w:t xml:space="preserve">pedagoginiai darbuotojai, t. y. 54,43 etato (2020 m. 48 pedagoginiai darbuotojai – 55,37 etato). </w:t>
      </w:r>
      <w:r w:rsidRPr="00B97CF3">
        <w:rPr>
          <w:bCs/>
          <w:lang w:eastAsia="lt-LT"/>
        </w:rPr>
        <w:t>Gimnazijos aplinkos funkcionavimą užtikrino</w:t>
      </w:r>
      <w:r w:rsidRPr="00B97CF3">
        <w:rPr>
          <w:lang w:eastAsia="lt-LT"/>
        </w:rPr>
        <w:t xml:space="preserve"> </w:t>
      </w:r>
      <w:r w:rsidRPr="00B97CF3">
        <w:rPr>
          <w:bCs/>
          <w:lang w:eastAsia="lt-LT"/>
        </w:rPr>
        <w:t>17 nepedagoginių darbuotojų, t. y. 20,00 etatų.</w:t>
      </w:r>
      <w:r w:rsidRPr="00B97CF3">
        <w:rPr>
          <w:lang w:eastAsia="lt-LT"/>
        </w:rPr>
        <w:t xml:space="preserve"> </w:t>
      </w:r>
    </w:p>
    <w:p w:rsidR="00572859" w:rsidRPr="00B97CF3" w:rsidRDefault="00572859" w:rsidP="00572859">
      <w:pPr>
        <w:ind w:firstLine="567"/>
        <w:jc w:val="both"/>
        <w:rPr>
          <w:bCs/>
          <w:lang w:eastAsia="lt-LT"/>
        </w:rPr>
      </w:pPr>
      <w:r w:rsidRPr="00B97CF3">
        <w:rPr>
          <w:bCs/>
          <w:lang w:eastAsia="lt-LT"/>
        </w:rPr>
        <w:t xml:space="preserve">Siekiant Strateginio plano pirmojo tikslo – užtikrinti kokybiško ir modernaus ugdymo organizavimą bei pagalbos mokiniams teikimą – Gimnazijos veikla buvo orientuojama į </w:t>
      </w:r>
      <w:r w:rsidRPr="00B97CF3">
        <w:rPr>
          <w:lang w:eastAsia="lt-LT"/>
        </w:rPr>
        <w:t xml:space="preserve">saugioje ir inovatyvioje edukacinėje aplinkoje teikiamą kokybišką, praktine veikla besiremiantį, mokinius įtraukiantį ugdymą ir mokymosi pagalbos kiekvienam mokiniui teikimą. </w:t>
      </w:r>
      <w:r w:rsidRPr="00B97CF3">
        <w:rPr>
          <w:bCs/>
          <w:lang w:eastAsia="lt-LT"/>
        </w:rPr>
        <w:t>Tam buvo numatyti keturi</w:t>
      </w:r>
      <w:r w:rsidRPr="00B97CF3">
        <w:rPr>
          <w:bCs/>
          <w:color w:val="FF0000"/>
          <w:lang w:eastAsia="lt-LT"/>
        </w:rPr>
        <w:t xml:space="preserve"> </w:t>
      </w:r>
      <w:r w:rsidRPr="00B97CF3">
        <w:rPr>
          <w:bCs/>
          <w:lang w:eastAsia="lt-LT"/>
        </w:rPr>
        <w:t>metinės veiklos uždaviniai. Įgyvendinant pirmąjį uždavinį –</w:t>
      </w:r>
      <w:r w:rsidRPr="00B97CF3">
        <w:rPr>
          <w:rFonts w:eastAsia="Calibri"/>
          <w:bCs/>
        </w:rPr>
        <w:t xml:space="preserve"> </w:t>
      </w:r>
      <w:r w:rsidRPr="00B97CF3">
        <w:rPr>
          <w:bCs/>
          <w:lang w:eastAsia="lt-LT"/>
        </w:rPr>
        <w:t>užtikrinti darbuotojų kompetencijų ugdymą(si) ir tobulinimą(si), skirtą ugdymo proceso valdymo kokybei gerinti – 100 proc. mokytojų dalyvavo dalykiniuose seminaruose, vebinaruose, konferencijose ir mokymuose.</w:t>
      </w:r>
      <w:r w:rsidRPr="00B97CF3">
        <w:rPr>
          <w:shd w:val="clear" w:color="auto" w:fill="FFFFFF"/>
          <w:lang w:eastAsia="lt-LT"/>
        </w:rPr>
        <w:t xml:space="preserve"> Gimnazijoje buvo organizuoti 9 pasitarimai dėl pasirengimo atnaujintų bendrųjų programų įgyvendinimui. 3 mokytojai dalyvauja </w:t>
      </w:r>
      <w:r w:rsidRPr="00B97CF3">
        <w:rPr>
          <w:rFonts w:eastAsia="Calibri"/>
          <w:lang w:eastAsia="lt-LT"/>
        </w:rPr>
        <w:t>projekte „Bendrojo ugdymo mokytojų bendrųjų ir dalykinių kompetencijų tobulinimas“. Tobulintos mokytojų</w:t>
      </w:r>
      <w:r w:rsidRPr="00B97CF3">
        <w:rPr>
          <w:shd w:val="clear" w:color="auto" w:fill="FFFFFF"/>
          <w:lang w:eastAsia="lt-LT"/>
        </w:rPr>
        <w:t xml:space="preserve"> skaitmeninių technologijų ir informacijos valdymo kompetencijos:</w:t>
      </w:r>
      <w:r w:rsidRPr="00B97CF3">
        <w:rPr>
          <w:rFonts w:eastAsia="Calibri"/>
        </w:rPr>
        <w:t xml:space="preserve"> </w:t>
      </w:r>
      <w:r w:rsidRPr="00B97CF3">
        <w:rPr>
          <w:shd w:val="clear" w:color="auto" w:fill="FFFFFF"/>
          <w:lang w:eastAsia="lt-LT"/>
        </w:rPr>
        <w:t xml:space="preserve">24 mokytojai dirbo eTest sistemoje, Egzaminatorius.lt, 29 mokytojai dirbo EDUKA klasėje. 5 mokytojai dirbo klasėse, pritaikytose hibridiniam ugdymui. </w:t>
      </w:r>
      <w:r w:rsidRPr="00B97CF3">
        <w:rPr>
          <w:rFonts w:eastAsia="Calibri"/>
          <w:bCs/>
        </w:rPr>
        <w:t xml:space="preserve">19 mokytojų pagal </w:t>
      </w:r>
      <w:r w:rsidRPr="00B97CF3">
        <w:rPr>
          <w:bCs/>
        </w:rPr>
        <w:t xml:space="preserve">modelį „Kolega–kolegai“ stebėjo kolegų pamokas. Gimnazija organizavo 2 seminarus mokytojams. </w:t>
      </w:r>
      <w:r w:rsidRPr="00B97CF3">
        <w:t xml:space="preserve">40 proc. mokytojų kompetencijas tobulino </w:t>
      </w:r>
      <w:r w:rsidRPr="00B97CF3">
        <w:rPr>
          <w:lang w:val="lt"/>
        </w:rPr>
        <w:t xml:space="preserve">konferencijose bei forumuose pedagoginio meistriškumo klausimais, </w:t>
      </w:r>
      <w:r w:rsidRPr="00B97CF3">
        <w:rPr>
          <w:lang w:val="lt" w:eastAsia="lt-LT"/>
        </w:rPr>
        <w:t xml:space="preserve">dalyvauta seminaruose dėl </w:t>
      </w:r>
      <w:r w:rsidRPr="00B97CF3">
        <w:rPr>
          <w:rFonts w:eastAsia="Calibri"/>
          <w:lang w:val="lt" w:eastAsia="lt-LT"/>
        </w:rPr>
        <w:t xml:space="preserve">STEAM ugdymo Klaipėdos universitete. </w:t>
      </w:r>
      <w:r w:rsidRPr="00B97CF3">
        <w:rPr>
          <w:bCs/>
          <w:lang w:eastAsia="lt-LT"/>
        </w:rPr>
        <w:t>2 pedagogai atestavosi vyresniojo mokytojo kvalifikacinei kategorijai. Įgyvendinus pirmąjį uždavinį, pagerėjo mokytojų skaitmeninis raštingumas, patobulėjo mokytojų komunikavimo kompetencijos, pagerėjo mokytojų emocinė savijauta.</w:t>
      </w:r>
    </w:p>
    <w:p w:rsidR="00572859" w:rsidRPr="00B97CF3" w:rsidRDefault="00572859" w:rsidP="00572859">
      <w:pPr>
        <w:ind w:firstLine="567"/>
        <w:jc w:val="both"/>
        <w:rPr>
          <w:lang w:eastAsia="lt-LT"/>
        </w:rPr>
      </w:pPr>
      <w:r w:rsidRPr="00B97CF3">
        <w:rPr>
          <w:bCs/>
          <w:shd w:val="clear" w:color="auto" w:fill="FFFFFF"/>
          <w:lang w:eastAsia="lt-LT"/>
        </w:rPr>
        <w:t xml:space="preserve">Įgyvendinant antrąjį uždavinį – </w:t>
      </w:r>
      <w:r w:rsidRPr="00B97CF3">
        <w:rPr>
          <w:lang w:eastAsia="lt-LT"/>
        </w:rPr>
        <w:t xml:space="preserve">stiprinti dialogišką ir tyrinėjantį ugdymą(si) ir mokymą(si) – mokiniams buvo sudarytos galimybės tenkinti individualius poreikius: visiems mokiniams buvo </w:t>
      </w:r>
      <w:r w:rsidRPr="00B97CF3">
        <w:rPr>
          <w:color w:val="000000" w:themeColor="text1"/>
          <w:lang w:eastAsia="lt-LT"/>
        </w:rPr>
        <w:t>organizuotos</w:t>
      </w:r>
      <w:r w:rsidRPr="00B97CF3">
        <w:rPr>
          <w:lang w:eastAsia="lt-LT"/>
        </w:rPr>
        <w:t xml:space="preserve"> mokomųjų dalykų ilgalaikės konsultacijos (1073 metinių valandų) dėl  COVID – 19 pandemijos atsiradusius mokymosi praradimų kompensavimo. Mokiniams buvo sudaryta galimybė rinktis visų pagrindinių dalykų programų aukštesniuosius kursus, 6 pasirenkamuosius dalykus, 24 dalykų modulius, 17 neformaliojo švietimo programų.</w:t>
      </w:r>
      <w:r w:rsidRPr="00B97CF3">
        <w:rPr>
          <w:lang w:val="lt"/>
        </w:rPr>
        <w:t xml:space="preserve"> </w:t>
      </w:r>
      <w:r w:rsidRPr="00B97CF3">
        <w:t>Pagal pritaikytas programas ugdyta 13 specialiųjų ugdymosi poreikių turinčių mokinių. 143 mokiniams pagalbą teikė Gimnazijos socialinis pedagogas ir psichologas.</w:t>
      </w:r>
      <w:r w:rsidRPr="00B97CF3">
        <w:rPr>
          <w:rFonts w:eastAsia="SimSun"/>
          <w:lang w:eastAsia="zh-CN"/>
        </w:rPr>
        <w:t xml:space="preserve"> </w:t>
      </w:r>
      <w:r w:rsidRPr="00B97CF3">
        <w:t>Nemokamą maitinimą gavo 13 mokinių, 15 mokinių kompensuotos pavėžėjimo išlaidos.</w:t>
      </w:r>
      <w:r w:rsidRPr="00B97CF3">
        <w:rPr>
          <w:rFonts w:eastAsia="Calibri"/>
        </w:rPr>
        <w:t xml:space="preserve"> I–II klasėse mokėsi 9 mokiniai, baigę užsienio valstybės ugdymo programas. </w:t>
      </w:r>
      <w:r w:rsidRPr="00B97CF3">
        <w:rPr>
          <w:lang w:val="lt"/>
        </w:rPr>
        <w:t xml:space="preserve">Patyriminės veiklos gamtos mokslų, geografijos bei ekonomikos ir verslumo pamokose vykdomos I–IV klasėse, I–II klasėse patyriminio ugdymo veiklos pradėtos įgyvendinti kalbų ir technologijų pamokose. </w:t>
      </w:r>
      <w:r w:rsidRPr="00B97CF3">
        <w:rPr>
          <w:rFonts w:eastAsia="Calibri"/>
        </w:rPr>
        <w:t xml:space="preserve">Buvo </w:t>
      </w:r>
      <w:r w:rsidRPr="00B97CF3">
        <w:t xml:space="preserve">organizuota patyriminio mokymo veiklų pristatymo diena Gimnazijos bendruomenei, konferencija-diskusija šalies švietimo bendruomenei, </w:t>
      </w:r>
      <w:r w:rsidRPr="00B97CF3">
        <w:rPr>
          <w:lang w:val="lt" w:eastAsia="lt-LT"/>
        </w:rPr>
        <w:t>16 mokinių skaitė pranešimus 4 miesto ir šalies konferencijose.</w:t>
      </w:r>
      <w:r w:rsidRPr="00B97CF3">
        <w:rPr>
          <w:lang w:eastAsia="lt-LT"/>
        </w:rPr>
        <w:t xml:space="preserve"> Įgyvendinus antrąjį uždavinį, buvo sudarytos galimybės tenkinti individualius mokinių poreikius pagal galimybes.</w:t>
      </w:r>
    </w:p>
    <w:p w:rsidR="00572859" w:rsidRPr="00B97CF3" w:rsidRDefault="00572859" w:rsidP="00572859">
      <w:pPr>
        <w:ind w:firstLine="567"/>
        <w:jc w:val="both"/>
        <w:rPr>
          <w:bCs/>
          <w:lang w:eastAsia="lt-LT"/>
        </w:rPr>
      </w:pPr>
      <w:r w:rsidRPr="00B97CF3">
        <w:rPr>
          <w:lang w:eastAsia="lt-LT"/>
        </w:rPr>
        <w:lastRenderedPageBreak/>
        <w:t xml:space="preserve">Įgyvendinant trečiąjį uždavinį – savivaldos, socialinės partnerystės ir Gimnazijos bendruomenės lyderystės gebėjimų didinimas </w:t>
      </w:r>
      <w:r w:rsidRPr="00B97CF3">
        <w:rPr>
          <w:bCs/>
          <w:lang w:eastAsia="lt-LT"/>
        </w:rPr>
        <w:t xml:space="preserve">– buvo dalyvauta miesto projektuose, bendradarbiaujant </w:t>
      </w:r>
      <w:r w:rsidRPr="00B97CF3">
        <w:rPr>
          <w:lang w:eastAsia="ru-RU"/>
        </w:rPr>
        <w:t>su Lietuvos jūrų muziejumi,</w:t>
      </w:r>
      <w:r w:rsidRPr="00B97CF3">
        <w:rPr>
          <w:bCs/>
          <w:lang w:eastAsia="ru-RU"/>
        </w:rPr>
        <w:t xml:space="preserve"> Prano Domšaičio galerija, Imanuelio Kanto viešąja biblioteka. </w:t>
      </w:r>
      <w:r w:rsidRPr="00B97CF3">
        <w:rPr>
          <w:color w:val="000000" w:themeColor="text1"/>
          <w:lang w:eastAsia="ru-RU"/>
        </w:rPr>
        <w:t xml:space="preserve">Gimnazija dalyvavo šalies projektuose (3): Medijų edukacijos bei tyrimų centro „Meno avilys“ ir </w:t>
      </w:r>
      <w:r w:rsidRPr="00B97CF3">
        <w:rPr>
          <w:bCs/>
          <w:color w:val="000000" w:themeColor="text1"/>
          <w:lang w:eastAsia="ru-RU"/>
        </w:rPr>
        <w:t xml:space="preserve">Britų tarybos, </w:t>
      </w:r>
      <w:r w:rsidRPr="00B97CF3">
        <w:rPr>
          <w:bCs/>
          <w:lang w:eastAsia="ru-RU"/>
        </w:rPr>
        <w:t xml:space="preserve">Lietuvos tautinio olimpinio komiteto ir Britų tarybos , </w:t>
      </w:r>
      <w:r w:rsidRPr="00B97CF3">
        <w:rPr>
          <w:bCs/>
          <w:iCs/>
          <w:lang w:eastAsia="ru-RU"/>
        </w:rPr>
        <w:t>Vaikų kūrybinės iniciatyvos fondo projekte</w:t>
      </w:r>
      <w:r w:rsidRPr="00B97CF3">
        <w:rPr>
          <w:bCs/>
          <w:lang w:eastAsia="ru-RU"/>
        </w:rPr>
        <w:t>.</w:t>
      </w:r>
      <w:r w:rsidRPr="00B97CF3">
        <w:rPr>
          <w:lang w:val="lt" w:eastAsia="ru-RU"/>
        </w:rPr>
        <w:t xml:space="preserve"> Pagal  tarptautinio Erasmus Plus projektą „Europos legendos, sakmės ir padavimai“ dalyvauta projekto veiklose Graikijoje, pagal Erasmus Plus projektą „Saugokime mūsų pasaulį“ – Vokietijoje. </w:t>
      </w:r>
    </w:p>
    <w:p w:rsidR="00572859" w:rsidRPr="00B97CF3" w:rsidRDefault="00572859" w:rsidP="00572859">
      <w:pPr>
        <w:ind w:firstLine="567"/>
        <w:jc w:val="both"/>
        <w:rPr>
          <w:lang w:eastAsia="ru-RU"/>
        </w:rPr>
      </w:pPr>
      <w:r w:rsidRPr="00B97CF3">
        <w:rPr>
          <w:lang w:eastAsia="ru-RU"/>
        </w:rPr>
        <w:t xml:space="preserve">Mokiniai dalyvavo „Maisto bankas“, </w:t>
      </w:r>
      <w:r w:rsidRPr="00B97CF3">
        <w:rPr>
          <w:rFonts w:eastAsia="Calibri"/>
        </w:rPr>
        <w:t xml:space="preserve">gyvūnų globos namų „Nuaras“ ir  „Linksmosios pėdutės“, „Caritas“ organizuojamose akcijose. Socialinis pedagogas inicijavo </w:t>
      </w:r>
      <w:r w:rsidRPr="00B97CF3">
        <w:rPr>
          <w:lang w:eastAsia="ru-RU"/>
        </w:rPr>
        <w:t xml:space="preserve">socialinę akciją „Užkrėsk gerumu“. </w:t>
      </w:r>
      <w:r w:rsidRPr="00B97CF3">
        <w:rPr>
          <w:bCs/>
          <w:lang w:eastAsia="ru-RU"/>
        </w:rPr>
        <w:t xml:space="preserve">Gimnazijos psichologas </w:t>
      </w:r>
      <w:r w:rsidRPr="00B97CF3">
        <w:rPr>
          <w:lang w:eastAsia="ru-RU"/>
        </w:rPr>
        <w:t>vedė 16 grupinių užsiėmimų, paskaitų dėl mikroklimato gerinimo. Pagalbos vaikui teikimo klausimais Gimnazija įgyvendina programą LIONS QUEST  „Raktai į sėkmę“ (įvyko 16 užsiėmimų) bei bendradarbiauja su socialiniais partneriais, teikiančiais pagalbą vaikui. Šeimos klubas pravedė 10 užsiėmimų–susitikimų savivaldos institucijų veiklos, saugumo užtikrinimo, lyderystės ugdymo ir kt. klausimais.</w:t>
      </w:r>
      <w:r w:rsidRPr="00B97CF3">
        <w:rPr>
          <w:bCs/>
          <w:lang w:eastAsia="ru-RU"/>
        </w:rPr>
        <w:t xml:space="preserve"> 45 mokinių tėvai su vaikais dalyvavo Lietuvos mokinių neformaliojo švietimo centro organizuojamoje paskaitoje. 32 mokinių tėvai dalyvavo ISM Vadybos ir ekonomikos universiteto organizuotoje diskusijoje tėvams. Bendradarbiavimas su įvairiomis švietimo institucijomis sudaro sąlygas gerinti ugdymą karjerai. </w:t>
      </w:r>
    </w:p>
    <w:p w:rsidR="00572859" w:rsidRPr="00B97CF3" w:rsidRDefault="00572859" w:rsidP="00572859">
      <w:pPr>
        <w:tabs>
          <w:tab w:val="left" w:pos="597"/>
        </w:tabs>
        <w:ind w:firstLine="567"/>
        <w:jc w:val="both"/>
        <w:rPr>
          <w:bCs/>
          <w:lang w:val="lt" w:eastAsia="ru-RU"/>
        </w:rPr>
      </w:pPr>
      <w:r w:rsidRPr="00B97CF3">
        <w:rPr>
          <w:bCs/>
          <w:lang w:val="lt" w:eastAsia="ru-RU"/>
        </w:rPr>
        <w:t>Ugdant lyderystę,</w:t>
      </w:r>
      <w:r w:rsidRPr="00B97CF3">
        <w:rPr>
          <w:bCs/>
          <w:lang w:eastAsia="ru-RU"/>
        </w:rPr>
        <w:t xml:space="preserve"> 130 gimnazistų dalyvavo </w:t>
      </w:r>
      <w:r w:rsidRPr="00B97CF3">
        <w:rPr>
          <w:bCs/>
          <w:lang w:val="lt" w:eastAsia="ru-RU"/>
        </w:rPr>
        <w:t xml:space="preserve">informatikos konkurse „Bebras“, 25 mokiniai – </w:t>
      </w:r>
      <w:r w:rsidRPr="00B97CF3">
        <w:t xml:space="preserve">tarptautiniame matematikos konkurse „Kengūra“, 53 mokiniai – </w:t>
      </w:r>
      <w:r w:rsidRPr="00B97CF3">
        <w:rPr>
          <w:bCs/>
          <w:lang w:eastAsia="ru-RU"/>
        </w:rPr>
        <w:t xml:space="preserve">Lietuvos mokymo įstaigų konkurso „Olympis 2021“. </w:t>
      </w:r>
      <w:r w:rsidRPr="00B97CF3">
        <w:rPr>
          <w:bCs/>
          <w:lang w:val="lt" w:eastAsia="ru-RU"/>
        </w:rPr>
        <w:t xml:space="preserve">Klaipėdos miesto ir apskrities konkurse „Dainuok lietuviškai, dainuok apie Lietuvą” iškovotas II vietos diplomas. Pagal miesto projektą „Klaipėda – Europos jaunimo sostinė 2021“  organizuotame kūrybiško jaunimo festivalyje Gimnazijos  muzikantų grupė „YAMMA“ užėmė II vietą. I-jame Tarptautinio vokalinio ir chorinio meno konkurse „Voice Land 2021“ laimėtas diplomas. II-jame tarptautiniame vokalinės ir instrumentinės muzikos konkurse „Adagio“ laimėta I vieta. </w:t>
      </w:r>
    </w:p>
    <w:p w:rsidR="00572859" w:rsidRPr="00B97CF3" w:rsidRDefault="00572859" w:rsidP="00572859">
      <w:pPr>
        <w:ind w:firstLine="567"/>
        <w:jc w:val="both"/>
        <w:rPr>
          <w:lang w:eastAsia="ru-RU"/>
        </w:rPr>
      </w:pPr>
      <w:r w:rsidRPr="00B97CF3">
        <w:rPr>
          <w:lang w:eastAsia="ru-RU"/>
        </w:rPr>
        <w:t xml:space="preserve">65 proc. mokytojų aktyviai dalyvavo Gimnazijos savivaldos institucijų veikloje. Mokinių Senatas talkino  organizuojant renginius (12), pilietines akcijas (4), diskusijas (5), bendradarbiavo su Lietuvos moksleivių sąjunga. </w:t>
      </w:r>
    </w:p>
    <w:p w:rsidR="00572859" w:rsidRPr="00B97CF3" w:rsidRDefault="00572859" w:rsidP="00572859">
      <w:pPr>
        <w:ind w:firstLine="567"/>
        <w:jc w:val="both"/>
        <w:rPr>
          <w:lang w:eastAsia="lt-LT"/>
        </w:rPr>
      </w:pPr>
      <w:r w:rsidRPr="00B97CF3">
        <w:rPr>
          <w:lang w:eastAsia="ru-RU"/>
        </w:rPr>
        <w:t>Įgyvendinant ketvirtąjį uždavinį – gerinti pamokos kokybę, vertinimo procese surinktą informaciją panaudojant individualiai mokinio pažangai, karjeros planavimui –</w:t>
      </w:r>
      <w:r w:rsidRPr="00B97CF3">
        <w:rPr>
          <w:lang w:eastAsia="lt-LT"/>
        </w:rPr>
        <w:t xml:space="preserve"> Gimnazijos vidaus veiklos kokybės įsivertinimo rezultatai parodė, kad 80 proc. mokinių išmoko įsivertinti pasiekimus, 65 proc. mokinių geba nusimatyti tolimesnio mokymosi tikslus, kryptingai pasirinkti Gimnazijos siūlomas ugdomąsias veiklas. Apie 90 proc. mokytojų su mokiniais aptaria mokymosi sėkmes. Gimnazijoje atliktas vidaus veiklos kokybės 1 srities „Rezultatai“ rodiklio „Mokinio pasiekimai ir pažanga“, 2 srities „Ugdyma(sis) ir mokinių patirtys“ rodiklio „Mokymosi lūkesčiai ir mokinių skatinimas“ bei 4 srities „Lyderystė ir vadyba“ rodiklio „Perspektyva ir bendruomenės susitarimai“ įsivertinimas (</w:t>
      </w:r>
      <w:r w:rsidRPr="00B97CF3">
        <w:rPr>
          <w:color w:val="000000"/>
          <w:lang w:eastAsia="lt-LT"/>
        </w:rPr>
        <w:t>daugiausiai įvertinta 3 lygmeniu – stipriųjų pusių daugiau negu trūkumų</w:t>
      </w:r>
      <w:r w:rsidRPr="00B97CF3">
        <w:rPr>
          <w:lang w:eastAsia="lt-LT"/>
        </w:rPr>
        <w:t xml:space="preserve">). </w:t>
      </w:r>
      <w:r w:rsidRPr="00B97CF3">
        <w:rPr>
          <w:bCs/>
          <w:lang w:eastAsia="lt-LT"/>
        </w:rPr>
        <w:t xml:space="preserve">75 proc. </w:t>
      </w:r>
      <w:r w:rsidRPr="00B97CF3">
        <w:rPr>
          <w:lang w:eastAsia="lt-LT"/>
        </w:rPr>
        <w:t xml:space="preserve">mokinių, </w:t>
      </w:r>
      <w:r w:rsidRPr="00B97CF3">
        <w:rPr>
          <w:bCs/>
          <w:lang w:eastAsia="lt-LT"/>
        </w:rPr>
        <w:t xml:space="preserve">80 proc. </w:t>
      </w:r>
      <w:r w:rsidRPr="00B97CF3">
        <w:rPr>
          <w:lang w:eastAsia="lt-LT"/>
        </w:rPr>
        <w:t xml:space="preserve">mokinių tėvų </w:t>
      </w:r>
      <w:r w:rsidRPr="00B97CF3">
        <w:rPr>
          <w:bCs/>
          <w:lang w:eastAsia="lt-LT"/>
        </w:rPr>
        <w:t xml:space="preserve">ir 91 proc. pedagogų vertina teigiamai </w:t>
      </w:r>
      <w:r w:rsidRPr="00B97CF3">
        <w:rPr>
          <w:lang w:eastAsia="lt-LT"/>
        </w:rPr>
        <w:t>mokinio pasiekimus ir pažangą, mokinių skatinimą, perspektyvą ir bendruomenės susitarimus. 80 proc. gimnazistų gavo karjeros konsultacijas Gimnazijoje, 30 proc. gimnazistų – už Gimnazijos ribų. Organizuojant pamokas įvairiose edukacinėse erdvėse, dalyvauta 9 pamokose Klaipėdos universitete, 6 užsiėmimuose Prano Domšaičio galerijoje, 3 „Emokykla“ paskaitose.</w:t>
      </w:r>
    </w:p>
    <w:p w:rsidR="00572859" w:rsidRPr="00B97CF3" w:rsidRDefault="00572859" w:rsidP="00572859">
      <w:pPr>
        <w:ind w:firstLine="567"/>
        <w:jc w:val="both"/>
        <w:rPr>
          <w:lang w:eastAsia="lt-LT"/>
        </w:rPr>
      </w:pPr>
      <w:r w:rsidRPr="00B97CF3">
        <w:rPr>
          <w:lang w:eastAsia="lt-LT"/>
        </w:rPr>
        <w:t>Ugdant gabiuosius mokinius, buvo organizuotos visų mokomųjų dalykų mokyklos etapo olimpiados. 19 mokinių tapo miesto lietuvių kalbos (tautinių mažumų mokyklos),</w:t>
      </w:r>
      <w:r w:rsidRPr="00B97CF3">
        <w:rPr>
          <w:color w:val="00B050"/>
          <w:lang w:eastAsia="lt-LT"/>
        </w:rPr>
        <w:t xml:space="preserve"> </w:t>
      </w:r>
      <w:r w:rsidRPr="00B97CF3">
        <w:rPr>
          <w:lang w:eastAsia="lt-LT"/>
        </w:rPr>
        <w:t xml:space="preserve">rusų (gimtosios) kalbų, biologijos, chemijos, istorijos, fizikos, matematikos, informacinių technologijų olimpiadų nugalėtojais ir prizininkais. Gimnazijoje garantuojama aukšta mokymo(si) kokybė: 2021 m. bendras pažangumo vidurkis – 8,05. Vidurinį išsilavinimą įgijo 96 mokiniai (iš 101 mokinio). Pagrindinį išsilavinimą įgijo 98 mokiniai (iš 99 mokinių). 2 mokinių valstybinių brandos egzaminų (matematikos ir fizikos) rezultatai buvo įvertinti 100 balų. Lyginant su 2020 m. pagerėjo valstybinių brandos egzaminų rezultatai ir buvo aukštesni už šalies vidurkį: biologijos (2021 m. – 77,3, 2020 m. – 76,0; šalies – 50,7), informacinių technologijų (2021 m. – 56,4, 2020 m. – 36,2; šalies – 43,1); </w:t>
      </w:r>
      <w:r w:rsidRPr="00B97CF3">
        <w:rPr>
          <w:lang w:eastAsia="lt-LT"/>
        </w:rPr>
        <w:lastRenderedPageBreak/>
        <w:t>matematikos (2021 m. – 33,2, 2020 m. – 32,7; šalies – 31,2), fizikos (2021 m. – 69,6, 2020 m. – 44,6, šalies – 42,7). Gimnazijoje  auga aukščiausius įvertinimus (86–100 balų) gavusių abiturientų skaičius (2021 m. – 33 mokiniai,  2020 m. –31 mokinys, 2019 m. – 31 mokinys).</w:t>
      </w:r>
    </w:p>
    <w:p w:rsidR="00572859" w:rsidRPr="00B97CF3" w:rsidRDefault="00572859" w:rsidP="00572859">
      <w:pPr>
        <w:ind w:firstLine="567"/>
        <w:jc w:val="both"/>
        <w:rPr>
          <w:lang w:eastAsia="ru-RU"/>
        </w:rPr>
      </w:pPr>
      <w:r w:rsidRPr="00B97CF3">
        <w:rPr>
          <w:lang w:eastAsia="ru-RU"/>
        </w:rPr>
        <w:t>Įgyvendinant trečiojo ir ketvirtojo uždavinio priemones, mokiniai buvo skatinami dalyvauti projektinėje, socialinėje partnerystės veiklose, lavino savo gebėjimą dirbti tarptautinėse komandose. Gabių mokinių dalyvavimas dalykiniuose konkursuose, olimpiadose pagerino jų mokymosi pasiekimus. Sistemingas mokinio pažangos siekimas ir matavimas leido kiekvienam ugdytiniui siekti aukštesnių rezultatų pagal savo gebėjimus.</w:t>
      </w:r>
    </w:p>
    <w:p w:rsidR="00572859" w:rsidRPr="00B97CF3" w:rsidRDefault="00572859" w:rsidP="00572859">
      <w:pPr>
        <w:ind w:firstLine="567"/>
        <w:jc w:val="both"/>
        <w:rPr>
          <w:lang w:eastAsia="lt-LT"/>
        </w:rPr>
      </w:pPr>
      <w:r w:rsidRPr="00B97CF3">
        <w:rPr>
          <w:lang w:eastAsia="lt-LT"/>
        </w:rPr>
        <w:t>Siekiant Strateginio plano antrojo tikslo – užtikrinti saugią ir pozityvią emocinę ugdymo(si) aplinką – Gimnazijos veikla buvo orientuojama į patalpų būklės atnaujinimą, šiuolaikinių ugdymo(si) priemonių įsigijimą. Tikslui pasiekti buvo vykdomi du uždaviniai.</w:t>
      </w:r>
    </w:p>
    <w:p w:rsidR="00572859" w:rsidRPr="00B97CF3" w:rsidRDefault="00572859" w:rsidP="00572859">
      <w:pPr>
        <w:ind w:firstLine="567"/>
        <w:jc w:val="both"/>
        <w:rPr>
          <w:lang w:eastAsia="lt-LT"/>
        </w:rPr>
      </w:pPr>
      <w:r w:rsidRPr="00B97CF3">
        <w:rPr>
          <w:lang w:eastAsia="lt-LT"/>
        </w:rPr>
        <w:t xml:space="preserve">Įgyvendinant pirmąjį uždavinį – gerinti Gimnazijos ugdymo sąlygas –  atliktas trečiojo aukšto koridoriaus, 3 mokomųjų kabinetų, bibliotekos ir aktų salės patalpų kosmetinis remontas. Mokinių saugumui naujai aptverta 60 metrų Gimnazijos teritorijos. Užtikrinant elektroninio mokinio pažymėjimo diegimą ir naudojimą, modernizuota praėjimo kontrolės įranga. </w:t>
      </w:r>
    </w:p>
    <w:p w:rsidR="00572859" w:rsidRPr="00B97CF3" w:rsidRDefault="00572859" w:rsidP="00572859">
      <w:pPr>
        <w:ind w:firstLine="567"/>
        <w:jc w:val="both"/>
        <w:rPr>
          <w:bCs/>
          <w:lang w:eastAsia="lt-LT"/>
        </w:rPr>
      </w:pPr>
      <w:r w:rsidRPr="00B97CF3">
        <w:rPr>
          <w:lang w:eastAsia="lt-LT"/>
        </w:rPr>
        <w:t>Įgyvendinant antrąjį uždavinį – diegti interaktyvias technologijas – nupirkta 32 vnt. mokyklinių baldų ir 6 vnt. kitų mokymo priemonių.</w:t>
      </w:r>
      <w:r w:rsidRPr="00B97CF3">
        <w:rPr>
          <w:rFonts w:eastAsia="Calibri"/>
          <w:lang w:val="lt" w:eastAsia="lt-LT"/>
        </w:rPr>
        <w:t xml:space="preserve"> </w:t>
      </w:r>
      <w:r w:rsidRPr="00B97CF3">
        <w:rPr>
          <w:lang w:val="lt" w:eastAsia="lt-LT"/>
        </w:rPr>
        <w:t>Įsigytos 3 STEAM mokymo priemonės už 1,788 tūkst. Eur</w:t>
      </w:r>
      <w:r w:rsidRPr="00B97CF3">
        <w:rPr>
          <w:lang w:eastAsia="lt-LT"/>
        </w:rPr>
        <w:t xml:space="preserve"> ir 3D spausdintuvas.</w:t>
      </w:r>
      <w:r w:rsidRPr="00B97CF3">
        <w:rPr>
          <w:bCs/>
          <w:lang w:eastAsia="lt-LT"/>
        </w:rPr>
        <w:t xml:space="preserve"> Iš skaitmeninio ugdymo plėtrai skirtų lėšų Gimnazija įsigijo „EDUKA klasė“ licenziją 29 mokytojams ir visiems mokiniams, kompiuterinės technikos – 23 vnt. Įsigyta 362 vnt. vadovėlių ir grožinės literatūros leidinių už 4,547 tūkst. Eur. Patenkinti metodinėse grupėse aptarti vadovėlių įsigijimo poreikiai. </w:t>
      </w:r>
    </w:p>
    <w:p w:rsidR="00572859" w:rsidRPr="00B97CF3" w:rsidRDefault="00572859" w:rsidP="00572859">
      <w:pPr>
        <w:ind w:firstLine="567"/>
        <w:jc w:val="both"/>
        <w:rPr>
          <w:bCs/>
          <w:lang w:eastAsia="lt-LT"/>
        </w:rPr>
      </w:pPr>
      <w:r w:rsidRPr="00B97CF3">
        <w:rPr>
          <w:bCs/>
          <w:lang w:eastAsia="lt-LT"/>
        </w:rPr>
        <w:t>Įgyvendinant pirmąjį ir antrąjį uždavinius, sudarytos galimybės ugdyti(s) saugioje ir modernesnėje aplinkoje.</w:t>
      </w:r>
    </w:p>
    <w:p w:rsidR="00572859" w:rsidRPr="00B97CF3" w:rsidRDefault="00572859" w:rsidP="00572859">
      <w:pPr>
        <w:ind w:firstLine="567"/>
        <w:jc w:val="both"/>
        <w:rPr>
          <w:lang w:eastAsia="lt-LT"/>
        </w:rPr>
      </w:pPr>
      <w:r w:rsidRPr="00B97CF3">
        <w:rPr>
          <w:lang w:eastAsia="lt-LT"/>
        </w:rPr>
        <w:t xml:space="preserve">Žinios apie Gimnazijos veiklą tėvams, visuomenei skelbiamos internetiniame puslapyje </w:t>
      </w:r>
      <w:hyperlink r:id="rId6" w:history="1">
        <w:r w:rsidRPr="00B97CF3">
          <w:rPr>
            <w:color w:val="0000FF" w:themeColor="hyperlink"/>
            <w:u w:val="single"/>
            <w:lang w:eastAsia="lt-LT"/>
          </w:rPr>
          <w:t>https://aitvaras.klaipeda.lm.lt</w:t>
        </w:r>
      </w:hyperlink>
    </w:p>
    <w:p w:rsidR="00572859" w:rsidRPr="00B97CF3" w:rsidRDefault="00572859" w:rsidP="00572859">
      <w:pPr>
        <w:ind w:firstLine="567"/>
        <w:jc w:val="both"/>
        <w:rPr>
          <w:lang w:eastAsia="lt-LT"/>
        </w:rPr>
      </w:pPr>
      <w:r w:rsidRPr="00B97CF3">
        <w:rPr>
          <w:rFonts w:eastAsiaTheme="minorHAnsi"/>
          <w:lang w:eastAsia="lt-LT"/>
        </w:rPr>
        <w:t>2021 m. Gimnazijos</w:t>
      </w:r>
      <w:r w:rsidRPr="00B97CF3">
        <w:rPr>
          <w:rFonts w:eastAsiaTheme="minorHAnsi"/>
        </w:rPr>
        <w:t xml:space="preserve"> finansinė situacija buvo tokia:</w:t>
      </w:r>
    </w:p>
    <w:tbl>
      <w:tblPr>
        <w:tblStyle w:val="Lentelstinklelis"/>
        <w:tblW w:w="0" w:type="auto"/>
        <w:tblInd w:w="167" w:type="dxa"/>
        <w:tblLook w:val="04A0" w:firstRow="1" w:lastRow="0" w:firstColumn="1" w:lastColumn="0" w:noHBand="0" w:noVBand="1"/>
      </w:tblPr>
      <w:tblGrid>
        <w:gridCol w:w="2047"/>
        <w:gridCol w:w="1470"/>
        <w:gridCol w:w="1216"/>
        <w:gridCol w:w="1283"/>
        <w:gridCol w:w="3289"/>
      </w:tblGrid>
      <w:tr w:rsidR="00572859" w:rsidRPr="00154E5A" w:rsidTr="00E67D64">
        <w:trPr>
          <w:trHeight w:val="273"/>
        </w:trPr>
        <w:tc>
          <w:tcPr>
            <w:tcW w:w="2047" w:type="dxa"/>
            <w:vMerge w:val="restart"/>
            <w:tcBorders>
              <w:top w:val="single" w:sz="4" w:space="0" w:color="auto"/>
              <w:left w:val="single" w:sz="4" w:space="0" w:color="auto"/>
              <w:bottom w:val="single" w:sz="4" w:space="0" w:color="auto"/>
              <w:right w:val="single" w:sz="4" w:space="0" w:color="auto"/>
            </w:tcBorders>
            <w:hideMark/>
          </w:tcPr>
          <w:p w:rsidR="00572859" w:rsidRPr="00154E5A" w:rsidRDefault="00572859" w:rsidP="00E67D64">
            <w:pPr>
              <w:spacing w:after="160"/>
              <w:jc w:val="center"/>
            </w:pPr>
            <w:r w:rsidRPr="00154E5A">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572859" w:rsidRPr="00154E5A" w:rsidRDefault="00572859" w:rsidP="00E67D64">
            <w:pPr>
              <w:spacing w:after="160"/>
              <w:jc w:val="center"/>
            </w:pPr>
            <w:r w:rsidRPr="00154E5A">
              <w:t>Lėšos (tūkst. eurų)</w:t>
            </w:r>
          </w:p>
        </w:tc>
        <w:tc>
          <w:tcPr>
            <w:tcW w:w="3289" w:type="dxa"/>
            <w:vMerge w:val="restart"/>
            <w:tcBorders>
              <w:top w:val="single" w:sz="4" w:space="0" w:color="auto"/>
              <w:left w:val="single" w:sz="4" w:space="0" w:color="auto"/>
              <w:right w:val="single" w:sz="4" w:space="0" w:color="auto"/>
            </w:tcBorders>
          </w:tcPr>
          <w:p w:rsidR="00572859" w:rsidRPr="00154E5A" w:rsidRDefault="00572859" w:rsidP="00E67D64">
            <w:pPr>
              <w:spacing w:after="160"/>
              <w:jc w:val="center"/>
            </w:pPr>
            <w:r w:rsidRPr="00154E5A">
              <w:t>Pastabos</w:t>
            </w:r>
          </w:p>
          <w:p w:rsidR="00572859" w:rsidRPr="00154E5A" w:rsidRDefault="00572859" w:rsidP="00E67D64">
            <w:pPr>
              <w:spacing w:after="160"/>
              <w:jc w:val="center"/>
            </w:pPr>
          </w:p>
        </w:tc>
      </w:tr>
      <w:tr w:rsidR="00572859" w:rsidRPr="00154E5A" w:rsidTr="00E67D64">
        <w:tc>
          <w:tcPr>
            <w:tcW w:w="2047" w:type="dxa"/>
            <w:vMerge/>
            <w:tcBorders>
              <w:top w:val="single" w:sz="4" w:space="0" w:color="auto"/>
              <w:left w:val="single" w:sz="4" w:space="0" w:color="auto"/>
              <w:bottom w:val="single" w:sz="4" w:space="0" w:color="auto"/>
              <w:right w:val="single" w:sz="4" w:space="0" w:color="auto"/>
            </w:tcBorders>
            <w:vAlign w:val="center"/>
            <w:hideMark/>
          </w:tcPr>
          <w:p w:rsidR="00572859" w:rsidRPr="00154E5A" w:rsidRDefault="00572859" w:rsidP="00E67D64">
            <w:pPr>
              <w:spacing w:after="160"/>
            </w:pPr>
          </w:p>
        </w:tc>
        <w:tc>
          <w:tcPr>
            <w:tcW w:w="1470"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pPr>
              <w:spacing w:after="160"/>
              <w:jc w:val="center"/>
            </w:pPr>
            <w:r w:rsidRPr="00154E5A">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pPr>
              <w:spacing w:after="160"/>
              <w:jc w:val="center"/>
            </w:pPr>
            <w:r w:rsidRPr="00154E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pPr>
              <w:spacing w:after="160"/>
              <w:jc w:val="center"/>
            </w:pPr>
            <w:r w:rsidRPr="00154E5A">
              <w:t>Įvykdymas (%)</w:t>
            </w:r>
          </w:p>
        </w:tc>
        <w:tc>
          <w:tcPr>
            <w:tcW w:w="3289" w:type="dxa"/>
            <w:vMerge/>
            <w:tcBorders>
              <w:left w:val="single" w:sz="4" w:space="0" w:color="auto"/>
              <w:bottom w:val="single" w:sz="4" w:space="0" w:color="auto"/>
              <w:right w:val="single" w:sz="4" w:space="0" w:color="auto"/>
            </w:tcBorders>
          </w:tcPr>
          <w:p w:rsidR="00572859" w:rsidRPr="00154E5A" w:rsidRDefault="00572859" w:rsidP="00E67D64">
            <w:pPr>
              <w:spacing w:after="160"/>
            </w:pPr>
          </w:p>
        </w:tc>
      </w:tr>
      <w:tr w:rsidR="00572859" w:rsidRPr="00154E5A" w:rsidTr="00E67D64">
        <w:trPr>
          <w:trHeight w:val="607"/>
        </w:trPr>
        <w:tc>
          <w:tcPr>
            <w:tcW w:w="2047"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pPr>
              <w:spacing w:after="160"/>
            </w:pPr>
            <w:r w:rsidRPr="00154E5A">
              <w:t>Savivaldybės biudžetas (SB)</w:t>
            </w:r>
          </w:p>
        </w:tc>
        <w:tc>
          <w:tcPr>
            <w:tcW w:w="1470"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246,20</w:t>
            </w:r>
          </w:p>
        </w:tc>
        <w:tc>
          <w:tcPr>
            <w:tcW w:w="1216"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243,78</w:t>
            </w:r>
          </w:p>
        </w:tc>
        <w:tc>
          <w:tcPr>
            <w:tcW w:w="1283"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99,02</w:t>
            </w:r>
          </w:p>
        </w:tc>
        <w:tc>
          <w:tcPr>
            <w:tcW w:w="3289" w:type="dxa"/>
            <w:tcBorders>
              <w:top w:val="single" w:sz="4" w:space="0" w:color="auto"/>
              <w:left w:val="single" w:sz="4" w:space="0" w:color="auto"/>
              <w:bottom w:val="single" w:sz="4" w:space="0" w:color="auto"/>
              <w:right w:val="single" w:sz="4" w:space="0" w:color="auto"/>
            </w:tcBorders>
          </w:tcPr>
          <w:p w:rsidR="00572859" w:rsidRPr="00154E5A" w:rsidRDefault="00572859" w:rsidP="00E67D64">
            <w:r w:rsidRPr="00154E5A">
              <w:t xml:space="preserve">Nepanaudotos komunalinių išlaidų ir ligos pašalpos lėšos </w:t>
            </w:r>
          </w:p>
        </w:tc>
      </w:tr>
      <w:tr w:rsidR="00572859" w:rsidRPr="00154E5A" w:rsidTr="00E67D64">
        <w:trPr>
          <w:trHeight w:val="669"/>
        </w:trPr>
        <w:tc>
          <w:tcPr>
            <w:tcW w:w="2047"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r w:rsidRPr="00154E5A">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1076,50</w:t>
            </w:r>
          </w:p>
        </w:tc>
        <w:tc>
          <w:tcPr>
            <w:tcW w:w="1216"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1076,42</w:t>
            </w:r>
          </w:p>
        </w:tc>
        <w:tc>
          <w:tcPr>
            <w:tcW w:w="1283"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99,99</w:t>
            </w:r>
          </w:p>
        </w:tc>
        <w:tc>
          <w:tcPr>
            <w:tcW w:w="3289"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Liko ligos pašalpos lėšų</w:t>
            </w:r>
          </w:p>
        </w:tc>
      </w:tr>
      <w:tr w:rsidR="00572859" w:rsidRPr="00154E5A" w:rsidTr="00E67D64">
        <w:tc>
          <w:tcPr>
            <w:tcW w:w="2047"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r w:rsidRPr="00154E5A">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3,00</w:t>
            </w:r>
          </w:p>
        </w:tc>
        <w:tc>
          <w:tcPr>
            <w:tcW w:w="1216"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1,53</w:t>
            </w:r>
          </w:p>
        </w:tc>
        <w:tc>
          <w:tcPr>
            <w:tcW w:w="1283"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51</w:t>
            </w:r>
          </w:p>
        </w:tc>
        <w:tc>
          <w:tcPr>
            <w:tcW w:w="3289"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Dėl COVID-19 nevykdomų veiklų surinkta mažiau pajamų</w:t>
            </w:r>
          </w:p>
        </w:tc>
      </w:tr>
      <w:tr w:rsidR="00572859" w:rsidRPr="00154E5A" w:rsidTr="00E67D64">
        <w:trPr>
          <w:trHeight w:val="477"/>
        </w:trPr>
        <w:tc>
          <w:tcPr>
            <w:tcW w:w="2047"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r w:rsidRPr="00154E5A">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pPr>
              <w:spacing w:after="160"/>
            </w:pPr>
            <w:r w:rsidRPr="00154E5A">
              <w:t>3,00</w:t>
            </w:r>
          </w:p>
        </w:tc>
        <w:tc>
          <w:tcPr>
            <w:tcW w:w="1216"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0,45</w:t>
            </w:r>
          </w:p>
        </w:tc>
        <w:tc>
          <w:tcPr>
            <w:tcW w:w="1283"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15</w:t>
            </w:r>
          </w:p>
        </w:tc>
        <w:tc>
          <w:tcPr>
            <w:tcW w:w="3289"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Nepanaudotos lėšos perkeltos į 2022 m.</w:t>
            </w:r>
          </w:p>
        </w:tc>
      </w:tr>
      <w:tr w:rsidR="00572859" w:rsidRPr="00154E5A" w:rsidTr="00E67D64">
        <w:trPr>
          <w:trHeight w:val="125"/>
        </w:trPr>
        <w:tc>
          <w:tcPr>
            <w:tcW w:w="2047"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r w:rsidRPr="00154E5A">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47,69</w:t>
            </w:r>
          </w:p>
        </w:tc>
        <w:tc>
          <w:tcPr>
            <w:tcW w:w="1216"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22,45</w:t>
            </w:r>
          </w:p>
        </w:tc>
        <w:tc>
          <w:tcPr>
            <w:tcW w:w="1283"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47,07</w:t>
            </w:r>
          </w:p>
        </w:tc>
        <w:tc>
          <w:tcPr>
            <w:tcW w:w="3289"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Projektai tęsiasi ir lėšos bus panaudotos 2022 m. ir 2023 m.</w:t>
            </w:r>
          </w:p>
        </w:tc>
      </w:tr>
      <w:tr w:rsidR="00572859" w:rsidRPr="00154E5A" w:rsidTr="00E67D64">
        <w:trPr>
          <w:trHeight w:val="761"/>
        </w:trPr>
        <w:tc>
          <w:tcPr>
            <w:tcW w:w="2047"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r w:rsidRPr="00154E5A">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5,91</w:t>
            </w:r>
          </w:p>
        </w:tc>
        <w:tc>
          <w:tcPr>
            <w:tcW w:w="1216"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1,17</w:t>
            </w:r>
          </w:p>
        </w:tc>
        <w:tc>
          <w:tcPr>
            <w:tcW w:w="1283"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19,80</w:t>
            </w:r>
          </w:p>
        </w:tc>
        <w:tc>
          <w:tcPr>
            <w:tcW w:w="3289"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Lėšų likutis bus naudojamas 2022 m.</w:t>
            </w:r>
          </w:p>
        </w:tc>
      </w:tr>
      <w:tr w:rsidR="00572859" w:rsidRPr="00154E5A" w:rsidTr="00E67D64">
        <w:trPr>
          <w:trHeight w:val="430"/>
        </w:trPr>
        <w:tc>
          <w:tcPr>
            <w:tcW w:w="2047" w:type="dxa"/>
            <w:tcBorders>
              <w:top w:val="single" w:sz="4" w:space="0" w:color="auto"/>
              <w:left w:val="single" w:sz="4" w:space="0" w:color="auto"/>
              <w:bottom w:val="single" w:sz="4" w:space="0" w:color="auto"/>
              <w:right w:val="single" w:sz="4" w:space="0" w:color="auto"/>
            </w:tcBorders>
            <w:hideMark/>
          </w:tcPr>
          <w:p w:rsidR="00572859" w:rsidRPr="00154E5A" w:rsidRDefault="00572859" w:rsidP="00E67D64">
            <w:r w:rsidRPr="00154E5A">
              <w:t>Iš viso</w:t>
            </w:r>
          </w:p>
        </w:tc>
        <w:tc>
          <w:tcPr>
            <w:tcW w:w="1470"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1378,49</w:t>
            </w:r>
          </w:p>
        </w:tc>
        <w:tc>
          <w:tcPr>
            <w:tcW w:w="1216"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1345,35</w:t>
            </w:r>
          </w:p>
        </w:tc>
        <w:tc>
          <w:tcPr>
            <w:tcW w:w="1283"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97,60</w:t>
            </w:r>
          </w:p>
        </w:tc>
        <w:tc>
          <w:tcPr>
            <w:tcW w:w="3289" w:type="dxa"/>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p>
        </w:tc>
      </w:tr>
      <w:tr w:rsidR="00572859" w:rsidRPr="00154E5A" w:rsidTr="00E67D64">
        <w:trPr>
          <w:trHeight w:val="880"/>
        </w:trPr>
        <w:tc>
          <w:tcPr>
            <w:tcW w:w="6016" w:type="dxa"/>
            <w:gridSpan w:val="4"/>
            <w:tcBorders>
              <w:top w:val="single" w:sz="4" w:space="0" w:color="auto"/>
              <w:left w:val="single" w:sz="4" w:space="0" w:color="auto"/>
              <w:bottom w:val="single" w:sz="4" w:space="0" w:color="auto"/>
              <w:right w:val="single" w:sz="4" w:space="0" w:color="auto"/>
            </w:tcBorders>
          </w:tcPr>
          <w:p w:rsidR="00572859" w:rsidRPr="00154E5A" w:rsidRDefault="00572859" w:rsidP="00E67D64">
            <w:pPr>
              <w:spacing w:after="160"/>
            </w:pPr>
            <w:r w:rsidRPr="00154E5A">
              <w:t>Kreditinis įsiskolinimas (pagal visus finansavimo šaltinius) 2022 m. sausio 1 d. – 0,04 (tūkst. eurų)</w:t>
            </w:r>
          </w:p>
        </w:tc>
        <w:tc>
          <w:tcPr>
            <w:tcW w:w="3289" w:type="dxa"/>
            <w:tcBorders>
              <w:top w:val="single" w:sz="4" w:space="0" w:color="auto"/>
              <w:left w:val="single" w:sz="4" w:space="0" w:color="auto"/>
              <w:bottom w:val="single" w:sz="4" w:space="0" w:color="auto"/>
              <w:right w:val="single" w:sz="4" w:space="0" w:color="auto"/>
            </w:tcBorders>
          </w:tcPr>
          <w:p w:rsidR="00572859" w:rsidRPr="00154E5A" w:rsidRDefault="00572859" w:rsidP="00E67D64">
            <w:r w:rsidRPr="00154E5A">
              <w:t>Ryšių  mokesčiai už 2021 m. gruodžio mėn. mokami 2022 m. sausio mėn.</w:t>
            </w:r>
          </w:p>
        </w:tc>
      </w:tr>
    </w:tbl>
    <w:p w:rsidR="00572859" w:rsidRDefault="00572859" w:rsidP="00572859">
      <w:pPr>
        <w:tabs>
          <w:tab w:val="left" w:pos="573"/>
        </w:tabs>
        <w:ind w:firstLine="570"/>
        <w:jc w:val="both"/>
        <w:rPr>
          <w:rFonts w:eastAsiaTheme="minorHAnsi"/>
        </w:rPr>
      </w:pPr>
    </w:p>
    <w:p w:rsidR="00572859" w:rsidRPr="00154E5A" w:rsidRDefault="00572859" w:rsidP="00572859">
      <w:pPr>
        <w:tabs>
          <w:tab w:val="left" w:pos="573"/>
        </w:tabs>
        <w:ind w:firstLine="570"/>
        <w:jc w:val="both"/>
        <w:rPr>
          <w:rFonts w:eastAsia="SimSun"/>
          <w:lang w:eastAsia="zh-CN"/>
        </w:rPr>
      </w:pPr>
      <w:r w:rsidRPr="00154E5A">
        <w:rPr>
          <w:rFonts w:eastAsiaTheme="minorHAnsi"/>
        </w:rPr>
        <w:t xml:space="preserve">Gimnazijoje </w:t>
      </w:r>
      <w:r w:rsidRPr="00154E5A">
        <w:rPr>
          <w:rFonts w:eastAsia="SimSun"/>
          <w:lang w:eastAsia="zh-CN"/>
        </w:rPr>
        <w:t xml:space="preserve">2021 m. Klaipėdos miesto savivaldybės administracijos Švietimo skyriaus specialistai tikrino 3 valstybinių brandos egzaminų organizavimą ir vykdymą, dalyvavo Mokytojų atestacijos posėdyje. Nacionalinio visuomenės sveikatos centro prie Sveikatos apsaugos ministerijos Klaipėdos departamento Visuomenės sveikatos saugos kontrolės skyriaus specialistai tikrino Gimnazijos ekstremalios situacijos metu taikomų apribojimų laikymąsi. Pažeidimų nenustatyta. </w:t>
      </w:r>
    </w:p>
    <w:p w:rsidR="00572859" w:rsidRPr="00154E5A" w:rsidRDefault="00572859" w:rsidP="00572859">
      <w:pPr>
        <w:tabs>
          <w:tab w:val="left" w:pos="573"/>
        </w:tabs>
        <w:ind w:firstLine="570"/>
        <w:jc w:val="both"/>
      </w:pPr>
      <w:r w:rsidRPr="00154E5A">
        <w:t>Siekiant užtikrinti ugdymo paslaugų kokybę, šiuolaikinius reikalavimus atitinkančią saugią ir sveiką aplinką, Gimnazijoje būtina spręsti šias problemas: atlikti choreografijos ir sporto salės remontą; atnaujinti dalies mokomųjų kabinetų baldus; renovuoti vandentiekį, elektros instaliaciją; teikiant kokybišką ugdymą bei hibridinį mokymą, esant ekstremaliai situacijai, įsigyti informacinių ir komunikacinių technologijų įrangos.</w:t>
      </w:r>
    </w:p>
    <w:p w:rsidR="00572859" w:rsidRDefault="00572859" w:rsidP="00572859">
      <w:pPr>
        <w:jc w:val="both"/>
        <w:rPr>
          <w:rFonts w:eastAsia="Calibri"/>
        </w:rPr>
      </w:pPr>
      <w:r w:rsidRPr="00154E5A">
        <w:rPr>
          <w:lang w:eastAsia="lt-LT"/>
        </w:rPr>
        <w:t xml:space="preserve">Siekiant kokybiško ir modernaus ugdymo organizavimo, saugios ir pozityvios emocinės ugdymo(si) aplinkos, 2022 m. numatomas metinės veiklos tikslai – užtikrinti </w:t>
      </w:r>
      <w:r w:rsidRPr="00154E5A">
        <w:rPr>
          <w:rFonts w:eastAsia="Calibri"/>
        </w:rPr>
        <w:t>ugdytinių pasiekimų gerinimą per kiekvieno mokinio asmeninę ūgtį, remiantis jo pasiekimų analizės duomenimis, teikiant veiksmingą švietimo pagalbą įvairių gebėjimų mokiniams; pasirengti kompetencijomis grįsto atnaujinamo ugdymo turinio diegimui</w:t>
      </w:r>
      <w:r>
        <w:rPr>
          <w:rFonts w:eastAsia="Calibri"/>
        </w:rPr>
        <w:t>.</w:t>
      </w:r>
    </w:p>
    <w:p w:rsidR="00572859" w:rsidRDefault="00572859" w:rsidP="00572859">
      <w:pPr>
        <w:jc w:val="both"/>
      </w:pPr>
    </w:p>
    <w:p w:rsidR="00572859" w:rsidRDefault="00572859" w:rsidP="00572859">
      <w:pPr>
        <w:jc w:val="both"/>
      </w:pPr>
    </w:p>
    <w:p w:rsidR="00572859" w:rsidRPr="00832CC9" w:rsidRDefault="00572859" w:rsidP="00572859">
      <w:pPr>
        <w:jc w:val="both"/>
      </w:pPr>
      <w:r>
        <w:t xml:space="preserve">Direktorė </w:t>
      </w:r>
      <w:r>
        <w:tab/>
      </w:r>
      <w:r>
        <w:tab/>
      </w:r>
      <w:r>
        <w:tab/>
      </w:r>
      <w:r>
        <w:tab/>
      </w:r>
      <w:r>
        <w:tab/>
        <w:t xml:space="preserve">          Irina Fiodorova</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72859">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C067A"/>
    <w:rsid w:val="00572859"/>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itvaras.klaipeda.l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8384</Words>
  <Characters>4780</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2022-04-29T05:11:00Z</dcterms:created>
  <dcterms:modified xsi:type="dcterms:W3CDTF">2022-04-29T05:11:00Z</dcterms:modified>
</cp:coreProperties>
</file>